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9C" w:rsidRPr="0037099C" w:rsidRDefault="0037099C" w:rsidP="00370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95325" cy="828675"/>
            <wp:effectExtent l="0" t="0" r="9525" b="9525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99C" w:rsidRPr="0037099C" w:rsidRDefault="0037099C" w:rsidP="0037099C">
      <w:pPr>
        <w:keepNext/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t>КАБІНЕТ МІНІСТРІВ УКРАЇНИ</w:t>
      </w:r>
    </w:p>
    <w:p w:rsidR="0037099C" w:rsidRPr="0037099C" w:rsidRDefault="0037099C" w:rsidP="0037099C">
      <w:pPr>
        <w:keepNext/>
        <w:shd w:val="clear" w:color="auto" w:fill="FFFFFF"/>
        <w:spacing w:before="360" w:after="240" w:line="240" w:lineRule="auto"/>
        <w:jc w:val="center"/>
        <w:rPr>
          <w:rFonts w:ascii="Arial" w:eastAsia="Times New Roman" w:hAnsi="Arial" w:cs="Arial"/>
          <w:b/>
          <w:bCs/>
          <w:color w:val="000000"/>
          <w:spacing w:val="2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b/>
          <w:bCs/>
          <w:color w:val="000000"/>
          <w:spacing w:val="20"/>
          <w:sz w:val="16"/>
          <w:szCs w:val="16"/>
          <w:lang w:val="uk-UA" w:eastAsia="ru-RU"/>
        </w:rPr>
        <w:t>РОЗПОРЯДЖЕННЯ</w:t>
      </w:r>
    </w:p>
    <w:p w:rsidR="0037099C" w:rsidRPr="0037099C" w:rsidRDefault="0037099C" w:rsidP="0037099C">
      <w:pPr>
        <w:keepNext/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від 30 жовтня 2013 р. №  855-р</w:t>
      </w:r>
    </w:p>
    <w:p w:rsidR="0037099C" w:rsidRPr="0037099C" w:rsidRDefault="0037099C" w:rsidP="0037099C">
      <w:pPr>
        <w:keepNext/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Київ</w:t>
      </w:r>
    </w:p>
    <w:p w:rsidR="0037099C" w:rsidRPr="0037099C" w:rsidRDefault="0037099C" w:rsidP="0037099C">
      <w:pPr>
        <w:keepNext/>
        <w:shd w:val="clear" w:color="auto" w:fill="FFFFFF"/>
        <w:spacing w:before="36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t>Про затвердження проекту та титулу </w:t>
      </w: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br/>
        <w:t>будови “Тренувальний комплекс для </w:t>
      </w: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br/>
        <w:t>підготовки національної збірної команди </w:t>
      </w: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br/>
        <w:t>по вул. Керченське шосе у м. Феодосія”</w:t>
      </w:r>
    </w:p>
    <w:p w:rsidR="0037099C" w:rsidRPr="0037099C" w:rsidRDefault="0037099C" w:rsidP="0037099C">
      <w:pPr>
        <w:shd w:val="clear" w:color="auto" w:fill="FFFFFF"/>
        <w:spacing w:before="120"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1. Затвердити поданий Національним агентством з питань підготовки та проведення в Україні фінальної частини чемпіонату Європи 2012 року з футболу та реалізації інфраструктурних проектів проект “Тренувальний комплекс для підготовки національної збірної команди по вул. Керченське шосе у м. Феодосія”, розроблений корпорацією “</w:t>
      </w:r>
      <w:proofErr w:type="spellStart"/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Альтіс-Холдинг</w:t>
      </w:r>
      <w:proofErr w:type="spellEnd"/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” та рекомендований до затвердження державним підприємством “</w:t>
      </w:r>
      <w:proofErr w:type="spellStart"/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Укрдержбудекспертиза</w:t>
      </w:r>
      <w:proofErr w:type="spellEnd"/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” Міністерства регіонального розвитку, будівництва та житлово-комунального господарства, з такими основними техніко-економічними показниками:</w:t>
      </w:r>
    </w:p>
    <w:tbl>
      <w:tblPr>
        <w:tblW w:w="6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709"/>
        <w:gridCol w:w="1418"/>
      </w:tblGrid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площа ділянки, гектарів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площа забудови, кв. метрів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4284,4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поверховість, поверхів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загальна площа будівель, кв. метрів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8196,2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4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 тому числі: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4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тренувального комплексу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8167,7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4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котельні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28,5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корисна площа тренувального комплексу, кв. метрів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7446,5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категорія готелю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тризірковий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місткість готелю, місць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103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кількість номерів готелю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58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будівельний об’єм, куб. метрів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54168,2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firstLine="54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 тому числі: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1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тренувального комплексу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54059,9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1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котельні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108,3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кількість створених робочих місць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48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загальна кошторисна вартість, тис. гривень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142 296,134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32" w:firstLine="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 тому числі: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 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32" w:firstLine="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будівельно-монтажних робіт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79 990,613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32" w:firstLine="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устатковання</w:t>
            </w:r>
            <w:proofErr w:type="spellEnd"/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, меблів та інвентарю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32 756,809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32" w:firstLine="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пусконалагоджувальних робіт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940,126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ind w:left="532" w:firstLine="8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інші витрати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28 608,586</w:t>
            </w:r>
          </w:p>
        </w:tc>
      </w:tr>
      <w:tr w:rsidR="0037099C" w:rsidRPr="0037099C" w:rsidTr="0037099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тривалість будівництва, місяців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22</w:t>
            </w:r>
          </w:p>
        </w:tc>
      </w:tr>
    </w:tbl>
    <w:p w:rsidR="0037099C" w:rsidRPr="0037099C" w:rsidRDefault="0037099C" w:rsidP="0037099C">
      <w:pPr>
        <w:shd w:val="clear" w:color="auto" w:fill="FFFFFF"/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val="uk-UA" w:eastAsia="ru-RU"/>
        </w:rPr>
      </w:pP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lastRenderedPageBreak/>
        <w:t>2. Затвердити титул будови “Тренувальний комплекс для підготовки національної збірної команди по вул. Керченське шосе у м. Феодосія”, будівництво якої розпочинається у 2013 році, що додається.</w:t>
      </w:r>
    </w:p>
    <w:p w:rsidR="0037099C" w:rsidRPr="0037099C" w:rsidRDefault="0037099C" w:rsidP="0037099C">
      <w:pPr>
        <w:shd w:val="clear" w:color="auto" w:fill="FFFFFF"/>
        <w:spacing w:before="120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uk-UA" w:eastAsia="ru-RU"/>
        </w:rPr>
      </w:pP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t>                  Прем’єр-міністр України                                                         М. АЗАРОВ</w:t>
      </w:r>
    </w:p>
    <w:p w:rsidR="0037099C" w:rsidRPr="0037099C" w:rsidRDefault="0037099C" w:rsidP="0037099C">
      <w:pPr>
        <w:shd w:val="clear" w:color="auto" w:fill="FFFFFF"/>
        <w:spacing w:before="120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uk-UA" w:eastAsia="ru-RU"/>
        </w:rPr>
      </w:pP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t>Інд.70</w:t>
      </w:r>
    </w:p>
    <w:p w:rsidR="0037099C" w:rsidRPr="0037099C" w:rsidRDefault="0037099C" w:rsidP="0037099C">
      <w:pPr>
        <w:shd w:val="clear" w:color="auto" w:fill="FFFFFF"/>
        <w:spacing w:before="120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uk-UA" w:eastAsia="ru-RU"/>
        </w:rPr>
      </w:pPr>
      <w:r w:rsidRPr="0037099C">
        <w:rPr>
          <w:rFonts w:ascii="Verdana" w:eastAsia="Times New Roman" w:hAnsi="Verdana" w:cs="Arial"/>
          <w:b/>
          <w:bCs/>
          <w:color w:val="000000"/>
          <w:sz w:val="16"/>
          <w:szCs w:val="16"/>
          <w:lang w:val="uk-UA" w:eastAsia="ru-RU"/>
        </w:rPr>
        <w:t> </w:t>
      </w:r>
    </w:p>
    <w:p w:rsidR="0037099C" w:rsidRPr="0037099C" w:rsidRDefault="0037099C" w:rsidP="0037099C">
      <w:pPr>
        <w:keepNext/>
        <w:shd w:val="clear" w:color="auto" w:fill="FFFFFF"/>
        <w:spacing w:after="240" w:line="240" w:lineRule="auto"/>
        <w:ind w:left="3555"/>
        <w:jc w:val="center"/>
        <w:rPr>
          <w:rFonts w:ascii="Arial" w:eastAsia="Times New Roman" w:hAnsi="Arial" w:cs="Arial"/>
          <w:color w:val="000000"/>
          <w:sz w:val="26"/>
          <w:szCs w:val="26"/>
          <w:lang w:val="uk-UA" w:eastAsia="ru-RU"/>
        </w:rPr>
      </w:pPr>
      <w:r w:rsidRPr="0037099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uk-UA" w:eastAsia="ru-RU"/>
        </w:rPr>
        <w:br w:type="page"/>
      </w: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lastRenderedPageBreak/>
        <w:t>ЗАТВЕРДЖЕНО </w:t>
      </w: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br/>
        <w:t>розпорядженням Кабінету Міністрів України </w:t>
      </w: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br/>
        <w:t>від 30 жовтня 2013 р. №  855-р</w:t>
      </w:r>
    </w:p>
    <w:p w:rsidR="0037099C" w:rsidRPr="0037099C" w:rsidRDefault="0037099C" w:rsidP="0037099C">
      <w:pPr>
        <w:keepNext/>
        <w:shd w:val="clear" w:color="auto" w:fill="FFFFFF"/>
        <w:spacing w:before="480" w:after="36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t>ТИТУЛ</w:t>
      </w: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br/>
        <w:t>будови “Тренувальний комплекс для підготовки національної збірної команди </w:t>
      </w:r>
      <w:r w:rsidRPr="0037099C">
        <w:rPr>
          <w:rFonts w:ascii="Verdana" w:eastAsia="Times New Roman" w:hAnsi="Verdana" w:cs="Arial"/>
          <w:color w:val="000000"/>
          <w:sz w:val="16"/>
          <w:szCs w:val="16"/>
          <w:lang w:val="uk-UA" w:eastAsia="ru-RU"/>
        </w:rPr>
        <w:br/>
        <w:t>по вул. Керченське шосе у м. Феодосія”, будівництво якої розпочинається у 2013 році</w:t>
      </w:r>
    </w:p>
    <w:tbl>
      <w:tblPr>
        <w:tblW w:w="8525" w:type="dxa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3969"/>
      </w:tblGrid>
      <w:tr w:rsidR="0037099C" w:rsidRPr="0037099C" w:rsidTr="0037099C">
        <w:trPr>
          <w:trHeight w:val="20"/>
        </w:trPr>
        <w:tc>
          <w:tcPr>
            <w:tcW w:w="4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Найменування будови (об’єкта) та його місцезнаходження: тренувальний комплекс для підготовки національної збірної команди по вул. Керченське шосе у м. Феодосія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Частка державної власності у майні забудовника на 1 січня 2013 р. — 100 відсотків</w:t>
            </w:r>
          </w:p>
        </w:tc>
      </w:tr>
      <w:tr w:rsidR="0037099C" w:rsidRPr="0037099C" w:rsidTr="0037099C">
        <w:trPr>
          <w:trHeight w:val="20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Найменування забудовника: державне підприємство “Льодові арени”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Наявність робочої документації на загальну кошторисну вартість — 31170 тис. гривень, у тому числі будівельно-монтажних робіт — 23757,573 тис. гривень</w:t>
            </w:r>
          </w:p>
        </w:tc>
      </w:tr>
      <w:tr w:rsidR="0037099C" w:rsidRPr="0037099C" w:rsidTr="0037099C">
        <w:trPr>
          <w:trHeight w:val="20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Галузь: будівництво житлових і нежитлових будівель, КВЕД 41.20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Проектно-кошторисну документацію затверджено розпорядженням Кабінету Міністрів України від 30 жовтня 2013 р. № 855</w:t>
            </w:r>
          </w:p>
        </w:tc>
      </w:tr>
      <w:tr w:rsidR="0037099C" w:rsidRPr="0037099C" w:rsidTr="0037099C">
        <w:trPr>
          <w:trHeight w:val="20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 xml:space="preserve">Сфера управління: </w:t>
            </w:r>
            <w:proofErr w:type="spellStart"/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Укрєвроінфрапроект</w:t>
            </w:r>
            <w:proofErr w:type="spellEnd"/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Генеральна проектна організація: корпорація “</w:t>
            </w:r>
            <w:proofErr w:type="spellStart"/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Альтіс</w:t>
            </w:r>
            <w:proofErr w:type="spellEnd"/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 xml:space="preserve"> Холдинг”</w:t>
            </w:r>
          </w:p>
        </w:tc>
      </w:tr>
      <w:tr w:rsidR="0037099C" w:rsidRPr="0037099C" w:rsidTr="0037099C">
        <w:trPr>
          <w:trHeight w:val="20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Характер будівництва: нове будівництво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7099C" w:rsidRPr="0037099C" w:rsidRDefault="0037099C" w:rsidP="0037099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37099C" w:rsidRPr="0037099C" w:rsidTr="0037099C">
        <w:trPr>
          <w:trHeight w:val="20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Строк будівництва: 2013—2014 роки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Генеральна підрядна організація: визначається відповідно до вимог закону</w:t>
            </w:r>
          </w:p>
        </w:tc>
      </w:tr>
      <w:tr w:rsidR="0037099C" w:rsidRPr="0037099C" w:rsidTr="0037099C">
        <w:trPr>
          <w:trHeight w:val="20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120" w:after="12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Джерела фінансування: державний бюджет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7099C" w:rsidRPr="0037099C" w:rsidRDefault="0037099C" w:rsidP="0037099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37099C" w:rsidRPr="0037099C" w:rsidRDefault="0037099C" w:rsidP="0037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099C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> </w:t>
      </w:r>
    </w:p>
    <w:p w:rsidR="0037099C" w:rsidRPr="0037099C" w:rsidRDefault="0037099C" w:rsidP="0037099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099C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> </w:t>
      </w:r>
    </w:p>
    <w:tbl>
      <w:tblPr>
        <w:tblW w:w="8525" w:type="dxa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127"/>
        <w:gridCol w:w="1559"/>
        <w:gridCol w:w="1417"/>
      </w:tblGrid>
      <w:tr w:rsidR="0037099C" w:rsidRPr="0037099C" w:rsidTr="0037099C">
        <w:trPr>
          <w:trHeight w:val="20"/>
        </w:trPr>
        <w:tc>
          <w:tcPr>
            <w:tcW w:w="3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Показники будови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Згідно з проектно-кошторисною документацією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Завдання за роками</w:t>
            </w:r>
          </w:p>
        </w:tc>
      </w:tr>
      <w:tr w:rsidR="0037099C" w:rsidRPr="0037099C" w:rsidTr="0037099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099C" w:rsidRPr="0037099C" w:rsidRDefault="0037099C" w:rsidP="0037099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099C" w:rsidRPr="0037099C" w:rsidRDefault="0037099C" w:rsidP="0037099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2014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Площа ділянки, гектарів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Площа забудови, кв. метрів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4284,4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4284,4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Поверховість, поверхів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Загальна площа будівель, кв. метрів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8196,2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8196,2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86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 тому числі: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86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тренувального комплексу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8167,7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8167,7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86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котельні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28,5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28,5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корисна площа тренувального комплексу, кв. метрів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7446,5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7446,5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будівельний об’єм, куб. метрів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54168,2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54168,2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9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 тому числі: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9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тренувального комплексу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54059,9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54059,9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9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котельні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108,3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108,3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Вартість основних фондів, тис. гривень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118 580,111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118 580,111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Капітальні вкладення, тис. гривень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142 296,134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31 170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111 126,134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Загальна кошторисна вартість, тис. гривень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142 296,134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31 170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111 126,134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 тому числі: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будівельно-монтажних робіт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79 990,613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23 757,573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56 233,04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устатковання</w:t>
            </w:r>
            <w:proofErr w:type="spellEnd"/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32 756,809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32 756,809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пусконалагоджувальних робіт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940,126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940,126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інші витрати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28 608,586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7 412,427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21 196,159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Із загального обсягу капітальних вкладень за рахунок, тис. гривень: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3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державного бюджету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31 170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111 126,134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3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lastRenderedPageBreak/>
              <w:t>обласного бюджету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  <w:tr w:rsidR="0037099C" w:rsidRPr="0037099C" w:rsidTr="0037099C">
        <w:trPr>
          <w:trHeight w:val="20"/>
        </w:trPr>
        <w:tc>
          <w:tcPr>
            <w:tcW w:w="3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ind w:left="43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інших джерел (державна підтримка)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99C" w:rsidRPr="0037099C" w:rsidRDefault="0037099C" w:rsidP="0037099C">
            <w:pPr>
              <w:spacing w:before="60"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099C">
              <w:rPr>
                <w:rFonts w:ascii="Verdana" w:eastAsia="Times New Roman" w:hAnsi="Verdana" w:cs="Arial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37099C" w:rsidRPr="0037099C" w:rsidRDefault="0037099C" w:rsidP="0037099C">
      <w:pPr>
        <w:keepNext/>
        <w:shd w:val="clear" w:color="auto" w:fill="FFFFFF"/>
        <w:spacing w:before="120" w:after="10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  <w:r w:rsidRPr="0037099C">
        <w:rPr>
          <w:rFonts w:ascii="Verdana" w:eastAsia="Times New Roman" w:hAnsi="Verdana" w:cs="Arial"/>
          <w:b/>
          <w:bCs/>
          <w:i/>
          <w:iCs/>
          <w:color w:val="000000"/>
          <w:sz w:val="16"/>
          <w:szCs w:val="16"/>
          <w:lang w:val="uk-UA" w:eastAsia="ru-RU"/>
        </w:rPr>
        <w:t>_____________________</w:t>
      </w:r>
    </w:p>
    <w:p w:rsidR="00781CCD" w:rsidRDefault="00781CCD">
      <w:bookmarkStart w:id="0" w:name="_GoBack"/>
      <w:bookmarkEnd w:id="0"/>
    </w:p>
    <w:sectPr w:rsidR="0078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9C"/>
    <w:rsid w:val="0037099C"/>
    <w:rsid w:val="007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0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0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20">
    <w:name w:val="a2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3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99C"/>
  </w:style>
  <w:style w:type="paragraph" w:customStyle="1" w:styleId="a5">
    <w:name w:val="a5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0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0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20">
    <w:name w:val="a2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3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99C"/>
  </w:style>
  <w:style w:type="paragraph" w:customStyle="1" w:styleId="a5">
    <w:name w:val="a5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3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2013-11-07T16:39:00Z</dcterms:created>
  <dcterms:modified xsi:type="dcterms:W3CDTF">2013-11-07T16:39:00Z</dcterms:modified>
</cp:coreProperties>
</file>