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7" w:rsidRPr="001811D5" w:rsidRDefault="00240867" w:rsidP="00240867">
      <w:pPr>
        <w:pStyle w:val="1"/>
        <w:spacing w:before="0" w:after="0"/>
        <w:ind w:left="4248"/>
        <w:jc w:val="right"/>
        <w:rPr>
          <w:b/>
        </w:rPr>
      </w:pPr>
      <w:bookmarkStart w:id="0" w:name="_GoBack"/>
      <w:bookmarkEnd w:id="0"/>
    </w:p>
    <w:p w:rsidR="00240867" w:rsidRPr="001811D5" w:rsidRDefault="00240867" w:rsidP="00240867">
      <w:pPr>
        <w:pStyle w:val="1"/>
        <w:spacing w:before="0" w:after="0"/>
        <w:jc w:val="center"/>
        <w:rPr>
          <w:b/>
        </w:rPr>
      </w:pPr>
      <w:r w:rsidRPr="001811D5">
        <w:rPr>
          <w:b/>
        </w:rPr>
        <w:t xml:space="preserve">ЗВІТ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37"/>
      </w:tblGrid>
      <w:tr w:rsidR="00240867" w:rsidRPr="001811D5" w:rsidTr="005A1A14">
        <w:trPr>
          <w:trHeight w:val="1600"/>
        </w:trPr>
        <w:tc>
          <w:tcPr>
            <w:tcW w:w="10137" w:type="dxa"/>
          </w:tcPr>
          <w:p w:rsidR="00240867" w:rsidRPr="001811D5" w:rsidRDefault="00240867" w:rsidP="005A1A14">
            <w:pPr>
              <w:pStyle w:val="1"/>
              <w:spacing w:before="0" w:after="0"/>
              <w:jc w:val="center"/>
              <w:rPr>
                <w:b/>
              </w:rPr>
            </w:pPr>
            <w:r w:rsidRPr="001811D5">
              <w:rPr>
                <w:b/>
              </w:rPr>
              <w:t xml:space="preserve">про надходження і використання коштів виборчого фонду 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  <w:rPr>
                <w:b/>
              </w:rPr>
            </w:pPr>
            <w:r w:rsidRPr="001811D5">
              <w:rPr>
                <w:b/>
              </w:rPr>
              <w:t xml:space="preserve">місцевої організації політичної партії, кандидати у депутати від якої зареєстровані в багатомандатному виборчому окрузі, кандидата у депутати в одномандатному, </w:t>
            </w:r>
            <w:proofErr w:type="spellStart"/>
            <w:r w:rsidRPr="001811D5">
              <w:rPr>
                <w:b/>
              </w:rPr>
              <w:t>одномандатному</w:t>
            </w:r>
            <w:proofErr w:type="spellEnd"/>
            <w:r w:rsidRPr="001811D5">
              <w:rPr>
                <w:b/>
              </w:rPr>
              <w:t xml:space="preserve"> мажоритарному виборчому окрузі,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  <w:rPr>
                <w:b/>
              </w:rPr>
            </w:pPr>
            <w:r w:rsidRPr="001811D5">
              <w:rPr>
                <w:b/>
              </w:rPr>
              <w:t>кандидата на посаду сільського, селищного, міського голови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</w:pPr>
          </w:p>
          <w:p w:rsidR="00240867" w:rsidRPr="00F77DF2" w:rsidRDefault="00F77DF2" w:rsidP="005A1A14">
            <w:pPr>
              <w:pStyle w:val="1"/>
              <w:spacing w:before="0" w:after="0"/>
              <w:jc w:val="center"/>
            </w:pPr>
            <w:r>
              <w:t>Желтенко Іван Миколайович</w:t>
            </w:r>
            <w:r w:rsidR="00121664">
              <w:t>,</w:t>
            </w:r>
            <w:r>
              <w:t xml:space="preserve"> кандидат у народні депутати України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1811D5">
              <w:rPr>
                <w:sz w:val="18"/>
                <w:szCs w:val="18"/>
              </w:rPr>
              <w:t xml:space="preserve">(повна назва місцевої організації партії / прізвище, ім’я, по батькові кандидата у депутати, кандидата на посаду 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1811D5">
              <w:rPr>
                <w:sz w:val="18"/>
                <w:szCs w:val="18"/>
              </w:rPr>
              <w:t>сільського, селищного, міського голови)</w:t>
            </w:r>
          </w:p>
          <w:p w:rsidR="00240867" w:rsidRPr="001811D5" w:rsidRDefault="00F77DF2" w:rsidP="005A1A14">
            <w:pPr>
              <w:pStyle w:val="1"/>
              <w:spacing w:before="0" w:after="0"/>
              <w:jc w:val="center"/>
            </w:pPr>
            <w:r>
              <w:t>ТВБВ № 10011/0219 філії – КРУ АТ «Ощадбанк», МФО 324805, № 26436500655614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  <w:rPr>
                <w:sz w:val="28"/>
                <w:szCs w:val="28"/>
                <w:vertAlign w:val="superscript"/>
              </w:rPr>
            </w:pPr>
            <w:r w:rsidRPr="001811D5">
              <w:rPr>
                <w:sz w:val="28"/>
                <w:szCs w:val="28"/>
                <w:vertAlign w:val="superscript"/>
              </w:rPr>
              <w:t>(назва та код установи банку, в якій відкрито рахунок виборчого фонду,  № рахунку)</w:t>
            </w:r>
          </w:p>
          <w:p w:rsidR="00240867" w:rsidRPr="001811D5" w:rsidRDefault="00240867" w:rsidP="005A1A14">
            <w:pPr>
              <w:pStyle w:val="1"/>
              <w:spacing w:before="0" w:after="0"/>
              <w:jc w:val="center"/>
            </w:pPr>
          </w:p>
        </w:tc>
      </w:tr>
    </w:tbl>
    <w:p w:rsidR="00240867" w:rsidRPr="001811D5" w:rsidRDefault="00240867" w:rsidP="00240867">
      <w:pPr>
        <w:pStyle w:val="1"/>
        <w:spacing w:before="0" w:after="0"/>
        <w:jc w:val="center"/>
        <w:rPr>
          <w:b/>
        </w:rPr>
      </w:pPr>
    </w:p>
    <w:p w:rsidR="00F77DF2" w:rsidRDefault="00F77DF2" w:rsidP="00F77DF2">
      <w:pPr>
        <w:pStyle w:val="1"/>
        <w:spacing w:before="0" w:after="0"/>
        <w:jc w:val="center"/>
        <w:rPr>
          <w:b/>
        </w:rPr>
      </w:pPr>
      <w:r>
        <w:rPr>
          <w:b/>
        </w:rPr>
        <w:t>одномандатний виборчий округ № 5 з виборів</w:t>
      </w:r>
    </w:p>
    <w:p w:rsidR="00240867" w:rsidRPr="001811D5" w:rsidRDefault="00F77DF2" w:rsidP="00F77DF2">
      <w:pPr>
        <w:pStyle w:val="1"/>
        <w:spacing w:before="0" w:after="0"/>
        <w:jc w:val="center"/>
        <w:rPr>
          <w:b/>
        </w:rPr>
      </w:pPr>
      <w:r>
        <w:rPr>
          <w:b/>
        </w:rPr>
        <w:t>народних депутатів Верховної Ради України</w:t>
      </w:r>
    </w:p>
    <w:p w:rsidR="00240867" w:rsidRPr="001811D5" w:rsidRDefault="00240867" w:rsidP="00240867">
      <w:pPr>
        <w:pStyle w:val="1"/>
        <w:spacing w:before="0" w:after="0"/>
        <w:jc w:val="both"/>
        <w:rPr>
          <w:b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7616"/>
        <w:gridCol w:w="1384"/>
      </w:tblGrid>
      <w:tr w:rsidR="00240867" w:rsidRPr="001811D5" w:rsidTr="005A1A14">
        <w:trPr>
          <w:trHeight w:hRule="exact" w:val="601"/>
          <w:tblHeader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0" w:after="120"/>
              <w:ind w:left="-180"/>
              <w:jc w:val="center"/>
              <w:rPr>
                <w:b/>
              </w:rPr>
            </w:pPr>
            <w:r w:rsidRPr="001811D5">
              <w:rPr>
                <w:b/>
              </w:rPr>
              <w:t>Код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0" w:after="120"/>
              <w:jc w:val="center"/>
              <w:rPr>
                <w:b/>
              </w:rPr>
            </w:pPr>
            <w:r w:rsidRPr="001811D5">
              <w:rPr>
                <w:b/>
              </w:rPr>
              <w:t>Найменування статті</w:t>
            </w:r>
          </w:p>
        </w:tc>
        <w:tc>
          <w:tcPr>
            <w:tcW w:w="1384" w:type="dxa"/>
            <w:vAlign w:val="center"/>
          </w:tcPr>
          <w:p w:rsidR="00240867" w:rsidRPr="001811D5" w:rsidRDefault="00240867" w:rsidP="005A1A14">
            <w:pPr>
              <w:pStyle w:val="1"/>
              <w:spacing w:before="0" w:after="120"/>
              <w:jc w:val="center"/>
              <w:rPr>
                <w:b/>
              </w:rPr>
            </w:pPr>
            <w:r w:rsidRPr="001811D5">
              <w:rPr>
                <w:b/>
              </w:rPr>
              <w:t xml:space="preserve">Сума, </w:t>
            </w:r>
            <w:proofErr w:type="spellStart"/>
            <w:r w:rsidRPr="001811D5">
              <w:rPr>
                <w:b/>
              </w:rPr>
              <w:t>грн</w:t>
            </w:r>
            <w:proofErr w:type="spellEnd"/>
          </w:p>
        </w:tc>
      </w:tr>
      <w:tr w:rsidR="00240867" w:rsidRPr="001811D5" w:rsidTr="005A1A14">
        <w:trPr>
          <w:cantSplit/>
          <w:trHeight w:hRule="exact" w:val="447"/>
        </w:trPr>
        <w:tc>
          <w:tcPr>
            <w:tcW w:w="9884" w:type="dxa"/>
            <w:gridSpan w:val="3"/>
            <w:vAlign w:val="center"/>
          </w:tcPr>
          <w:p w:rsidR="00240867" w:rsidRPr="001811D5" w:rsidRDefault="00240867" w:rsidP="005A1A14">
            <w:pPr>
              <w:pStyle w:val="1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1. Надходження коштів на рахунок виборчого фонду</w:t>
            </w:r>
          </w:p>
        </w:tc>
      </w:tr>
      <w:tr w:rsidR="00240867" w:rsidRPr="001811D5" w:rsidTr="005A1A14">
        <w:trPr>
          <w:trHeight w:val="519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1.1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Розмір виборчого фонду (1.1.1 + 1.1.2 + 1.1.3):</w:t>
            </w:r>
          </w:p>
        </w:tc>
        <w:tc>
          <w:tcPr>
            <w:tcW w:w="1384" w:type="dxa"/>
          </w:tcPr>
          <w:p w:rsidR="00240867" w:rsidRPr="00121664" w:rsidRDefault="00F77DF2" w:rsidP="00121664">
            <w:pPr>
              <w:pStyle w:val="1"/>
              <w:jc w:val="center"/>
              <w:rPr>
                <w:b/>
              </w:rPr>
            </w:pPr>
            <w:r w:rsidRPr="00121664">
              <w:rPr>
                <w:b/>
              </w:rPr>
              <w:t>21</w:t>
            </w:r>
            <w:r w:rsidR="00121664" w:rsidRPr="00121664">
              <w:rPr>
                <w:b/>
              </w:rPr>
              <w:t>4</w:t>
            </w:r>
            <w:r w:rsidRPr="00121664">
              <w:rPr>
                <w:b/>
              </w:rPr>
              <w:t>46</w:t>
            </w:r>
          </w:p>
        </w:tc>
      </w:tr>
      <w:tr w:rsidR="00240867" w:rsidRPr="001811D5" w:rsidTr="005A1A14">
        <w:trPr>
          <w:trHeight w:val="519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1.1.1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both"/>
              <w:rPr>
                <w:b/>
              </w:rPr>
            </w:pPr>
            <w:r w:rsidRPr="001811D5">
              <w:rPr>
                <w:bCs/>
              </w:rPr>
              <w:t>Кошти місцевої організації партії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val="457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1.1.2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both"/>
              <w:rPr>
                <w:bCs/>
              </w:rPr>
            </w:pPr>
            <w:r w:rsidRPr="001811D5">
              <w:rPr>
                <w:bCs/>
              </w:rPr>
              <w:t>Власні кошти кандидата у депутати, кандидата на посаду сільського, селищного, міського голови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7446</w:t>
            </w:r>
          </w:p>
        </w:tc>
      </w:tr>
      <w:tr w:rsidR="00240867" w:rsidRPr="001811D5" w:rsidTr="005A1A14">
        <w:trPr>
          <w:trHeight w:val="457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1.1.3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both"/>
              <w:rPr>
                <w:bCs/>
              </w:rPr>
            </w:pPr>
            <w:r w:rsidRPr="001811D5">
              <w:rPr>
                <w:bCs/>
              </w:rPr>
              <w:t>Добровільні внески фізичних осіб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14000</w:t>
            </w:r>
          </w:p>
        </w:tc>
      </w:tr>
      <w:tr w:rsidR="00240867" w:rsidRPr="001811D5" w:rsidTr="005A1A14">
        <w:trPr>
          <w:trHeight w:val="457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1.2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Перерахування штрафних санкцій виконавцями за укладеними угодами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cantSplit/>
          <w:trHeight w:val="457"/>
        </w:trPr>
        <w:tc>
          <w:tcPr>
            <w:tcW w:w="8500" w:type="dxa"/>
            <w:gridSpan w:val="2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rPr>
                <w:b/>
              </w:rPr>
            </w:pPr>
            <w:r w:rsidRPr="001811D5">
              <w:rPr>
                <w:b/>
              </w:rPr>
              <w:t>Усього надійшло коштів на рахунок виборчого фонду (1.1 + 1.2)</w:t>
            </w:r>
          </w:p>
        </w:tc>
        <w:tc>
          <w:tcPr>
            <w:tcW w:w="1384" w:type="dxa"/>
          </w:tcPr>
          <w:p w:rsidR="00240867" w:rsidRPr="00121664" w:rsidRDefault="00F77DF2" w:rsidP="00F77DF2">
            <w:pPr>
              <w:pStyle w:val="1"/>
              <w:jc w:val="center"/>
              <w:rPr>
                <w:b/>
              </w:rPr>
            </w:pPr>
            <w:r w:rsidRPr="00121664">
              <w:rPr>
                <w:b/>
              </w:rPr>
              <w:t>21446</w:t>
            </w:r>
          </w:p>
        </w:tc>
      </w:tr>
      <w:tr w:rsidR="00240867" w:rsidRPr="001811D5" w:rsidTr="005A1A14">
        <w:trPr>
          <w:cantSplit/>
        </w:trPr>
        <w:tc>
          <w:tcPr>
            <w:tcW w:w="9884" w:type="dxa"/>
            <w:gridSpan w:val="3"/>
            <w:tcBorders>
              <w:bottom w:val="single" w:sz="4" w:space="0" w:color="000000"/>
            </w:tcBorders>
          </w:tcPr>
          <w:p w:rsidR="00240867" w:rsidRPr="001811D5" w:rsidRDefault="00240867" w:rsidP="005A1A14">
            <w:pPr>
              <w:pStyle w:val="a3"/>
            </w:pPr>
            <w:r w:rsidRPr="001811D5">
              <w:t>2. Перерахування коштів з рахунку виборчого фонду</w:t>
            </w:r>
          </w:p>
        </w:tc>
      </w:tr>
      <w:tr w:rsidR="00240867" w:rsidRPr="001811D5" w:rsidTr="005A1A14">
        <w:tc>
          <w:tcPr>
            <w:tcW w:w="884" w:type="dxa"/>
            <w:tcBorders>
              <w:bottom w:val="single" w:sz="4" w:space="0" w:color="000000"/>
            </w:tcBorders>
          </w:tcPr>
          <w:p w:rsidR="00240867" w:rsidRPr="001811D5" w:rsidRDefault="00240867" w:rsidP="005A1A14">
            <w:pPr>
              <w:pStyle w:val="a3"/>
              <w:rPr>
                <w:bCs/>
              </w:rPr>
            </w:pPr>
            <w:r w:rsidRPr="001811D5">
              <w:rPr>
                <w:bCs/>
              </w:rPr>
              <w:t>2.1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Cs/>
              </w:rPr>
            </w:pPr>
            <w:r w:rsidRPr="001811D5">
              <w:rPr>
                <w:bCs/>
              </w:rPr>
              <w:t>Повернення добровільних внесків фізичним особам (2.1.1 + 2.1.2 + 2.1.3):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  <w:tcBorders>
              <w:bottom w:val="single" w:sz="4" w:space="0" w:color="000000"/>
            </w:tcBorders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2.1.1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Внесків, від яких відмовився розпорядник виборчого фонду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  <w:tcBorders>
              <w:top w:val="single" w:sz="4" w:space="0" w:color="000000"/>
            </w:tcBorders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2.1.2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Сум, що перевищують установлений граничний розмір внеску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2.1.3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Внесків, що надійшли до виборчого фонду пізніше ніж за день до дня місцевих виборів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Cs/>
              </w:rPr>
            </w:pPr>
            <w:r w:rsidRPr="001811D5">
              <w:rPr>
                <w:bCs/>
              </w:rPr>
              <w:t>2.2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Cs/>
              </w:rPr>
            </w:pPr>
            <w:r w:rsidRPr="001811D5">
              <w:rPr>
                <w:bCs/>
              </w:rPr>
              <w:t>Перерахування коштів до бюджету Автономної Республіки Крим чи відповідного місцевого бюджету (2.2.1 + 2.2.2 + 2.2.3 + 2.2.4 + 2.2.5 + 2.2.6):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2.2.1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добровільних внесків іноземців, осіб, які мають подвійне громадянство, та осіб без громадянства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2.2.2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 xml:space="preserve">добровільних внесків анонімних жертводавців 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2.2.3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добровільних внесків фізичних осіб, від яких відмовився розпорядник виборчого фонду, в разі неможливості їх повернення відповідним фізичним особам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2.2.4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сум, що перевищують установлений граничний розмір добровільного внеску, в разі неможливості їх повернення відповідним фізичним особам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lastRenderedPageBreak/>
              <w:t>2.2.5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добровільних внесків, що надійшли до виборчого фонду пізніше ніж за день до дня виборів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/>
                <w:bCs/>
              </w:rPr>
            </w:pPr>
            <w:r w:rsidRPr="001811D5">
              <w:rPr>
                <w:b/>
                <w:bCs/>
              </w:rPr>
              <w:t>2.2.6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/>
                <w:bCs/>
              </w:rPr>
            </w:pPr>
            <w:r w:rsidRPr="001811D5">
              <w:rPr>
                <w:b/>
                <w:bCs/>
              </w:rPr>
              <w:t>залишків коштів виборчого фонду в разі скасування рішення про реєстрацію кандидатів або вибуття кандидата з балотування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c>
          <w:tcPr>
            <w:tcW w:w="884" w:type="dxa"/>
          </w:tcPr>
          <w:p w:rsidR="00240867" w:rsidRPr="001811D5" w:rsidRDefault="00240867" w:rsidP="005A1A14">
            <w:pPr>
              <w:pStyle w:val="a3"/>
              <w:rPr>
                <w:bCs/>
              </w:rPr>
            </w:pPr>
            <w:r w:rsidRPr="001811D5">
              <w:rPr>
                <w:bCs/>
              </w:rPr>
              <w:t>2.3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a3"/>
              <w:jc w:val="both"/>
              <w:rPr>
                <w:bCs/>
              </w:rPr>
            </w:pPr>
            <w:r w:rsidRPr="001811D5">
              <w:rPr>
                <w:bCs/>
              </w:rPr>
              <w:t>Банківські послуги за перерахування коштів до бюджету Автономної Республіки Крим чи відповідного місцевого бюджету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0867" w:rsidRPr="001811D5" w:rsidTr="005A1A14">
        <w:trPr>
          <w:cantSplit/>
        </w:trPr>
        <w:tc>
          <w:tcPr>
            <w:tcW w:w="8500" w:type="dxa"/>
            <w:gridSpan w:val="2"/>
          </w:tcPr>
          <w:p w:rsidR="00240867" w:rsidRPr="001811D5" w:rsidRDefault="00240867" w:rsidP="005A1A14">
            <w:pPr>
              <w:pStyle w:val="a3"/>
              <w:jc w:val="both"/>
            </w:pPr>
            <w:r w:rsidRPr="001811D5">
              <w:t>Усього перераховано коштів з рахунку виборчого фонду (2.1 + 2.2 + 2.3)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a3"/>
            </w:pPr>
            <w:r>
              <w:t>-</w:t>
            </w:r>
          </w:p>
        </w:tc>
      </w:tr>
      <w:tr w:rsidR="00240867" w:rsidRPr="001811D5" w:rsidTr="005A1A14">
        <w:trPr>
          <w:cantSplit/>
          <w:trHeight w:hRule="exact" w:val="444"/>
        </w:trPr>
        <w:tc>
          <w:tcPr>
            <w:tcW w:w="9884" w:type="dxa"/>
            <w:gridSpan w:val="3"/>
            <w:vAlign w:val="center"/>
          </w:tcPr>
          <w:p w:rsidR="00240867" w:rsidRPr="001811D5" w:rsidRDefault="00240867" w:rsidP="005A1A14">
            <w:pPr>
              <w:pStyle w:val="1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3. Використання коштів виборчого фонду</w:t>
            </w:r>
          </w:p>
        </w:tc>
      </w:tr>
      <w:tr w:rsidR="00240867" w:rsidRPr="001811D5" w:rsidTr="005A1A14">
        <w:trPr>
          <w:trHeight w:hRule="exact" w:val="600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3.1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</w:rPr>
            </w:pPr>
            <w:r w:rsidRPr="001811D5">
              <w:rPr>
                <w:b/>
              </w:rPr>
              <w:t>Виготовлення агітаційних матеріалів (3.1.1+3.1.2+3.1.3+3.1.4+3.1.5):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2510</w:t>
            </w:r>
          </w:p>
        </w:tc>
      </w:tr>
      <w:tr w:rsidR="00240867" w:rsidRPr="001811D5" w:rsidTr="005A1A14">
        <w:trPr>
          <w:trHeight w:hRule="exact" w:val="578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3.1.1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друкованих матеріалів (плакатів, листівок, буклетів та інших агітаційних матеріалів)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2510</w:t>
            </w:r>
          </w:p>
        </w:tc>
      </w:tr>
      <w:tr w:rsidR="00240867" w:rsidRPr="001811D5" w:rsidTr="005A1A14">
        <w:trPr>
          <w:trHeight w:hRule="exact" w:val="300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3.1.2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відеозаписів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300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3.1.3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proofErr w:type="spellStart"/>
            <w:r w:rsidRPr="001811D5">
              <w:t>аудіозаписів</w:t>
            </w:r>
            <w:proofErr w:type="spellEnd"/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948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3.1.4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предметів, матеріалів (сувенірів, канцтоварів тощо), що містять візуальні зображення символіки та логотипів партії, місцева організація якої є суб’єктом виборчого процесу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894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3.1.5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придбання канцтоварів, паперу, інших предметів і матеріалів для виготовлення  агітаційних матеріалів із застосуванням власного обладнання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F77DF2">
        <w:trPr>
          <w:trHeight w:hRule="exact" w:val="443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3.2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  <w:rPr>
                <w:b/>
              </w:rPr>
            </w:pPr>
            <w:r w:rsidRPr="001811D5">
              <w:rPr>
                <w:b/>
              </w:rPr>
              <w:t>Використання засобів масової інформації (3.2.1+3.2.2):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17885,40</w:t>
            </w:r>
          </w:p>
        </w:tc>
      </w:tr>
      <w:tr w:rsidR="00240867" w:rsidRPr="001811D5" w:rsidTr="00F77DF2">
        <w:trPr>
          <w:trHeight w:hRule="exact" w:val="421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3.2.1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 xml:space="preserve">Оплата ефірного часу (3.2.1.1+3.2.1.2): 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9892,40</w:t>
            </w:r>
          </w:p>
        </w:tc>
      </w:tr>
      <w:tr w:rsidR="00240867" w:rsidRPr="001811D5" w:rsidTr="005A1A14">
        <w:trPr>
          <w:trHeight w:hRule="exact" w:val="300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3.2.1.1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на телебаченні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343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3.2.1.2</w:t>
            </w:r>
          </w:p>
        </w:tc>
        <w:tc>
          <w:tcPr>
            <w:tcW w:w="7616" w:type="dxa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на радіо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9892,40</w:t>
            </w:r>
          </w:p>
        </w:tc>
      </w:tr>
      <w:tr w:rsidR="00240867" w:rsidRPr="001811D5" w:rsidTr="005A1A14">
        <w:trPr>
          <w:trHeight w:hRule="exact" w:val="914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3.2.2</w:t>
            </w:r>
          </w:p>
        </w:tc>
        <w:tc>
          <w:tcPr>
            <w:tcW w:w="7616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Оплата за публікування агітаційних матеріалів, у тому числі передвиборних програм у друкованих засобах масової інформації всіх форм власності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</w:pPr>
            <w:r>
              <w:t>7993</w:t>
            </w:r>
          </w:p>
        </w:tc>
      </w:tr>
      <w:tr w:rsidR="00240867" w:rsidRPr="001811D5" w:rsidTr="005A1A14">
        <w:trPr>
          <w:trHeight w:hRule="exact" w:val="560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t>3.3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  <w:rPr>
                <w:b/>
              </w:rPr>
            </w:pPr>
            <w:r w:rsidRPr="001811D5">
              <w:rPr>
                <w:b/>
              </w:rPr>
              <w:t>Інші послуги, пов’язані з проведенням передвиборної агітації (3.3.1+3.3.2+3.3.3+3.3.4+3.3.5+3.3.6):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40867" w:rsidRPr="001811D5" w:rsidRDefault="00F77DF2" w:rsidP="00F77DF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0867" w:rsidRPr="001811D5" w:rsidTr="005A1A14">
        <w:trPr>
          <w:trHeight w:hRule="exact" w:val="1258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3.3.1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транспортні послуги для реалізації заходів передвиборної агітації (перевезення друкованих агітаційних матеріалів, технічних засобів та обладнання для ведення передвиборної агітації, а також інших предметів і матеріалів, пов’язаних із передвиборною агітацією)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8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3.3.2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оренда будинків і приміщень усіх форм власності для проведення зборів, мітингів, дебатів, дискусій та інших публічних заходів передвиборної агітації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709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3.3.3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 xml:space="preserve">оренда обладнання та технічних засобів для ведення передвиборної агітації, а також виготовлення матеріалів передвиборної агітації 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300"/>
        </w:trPr>
        <w:tc>
          <w:tcPr>
            <w:tcW w:w="884" w:type="dxa"/>
            <w:tcBorders>
              <w:right w:val="nil"/>
            </w:tcBorders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3.3.5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виготовлення (оренда) рекламних щитів</w:t>
            </w:r>
          </w:p>
        </w:tc>
        <w:tc>
          <w:tcPr>
            <w:tcW w:w="1384" w:type="dxa"/>
            <w:tcBorders>
              <w:left w:val="nil"/>
            </w:tcBorders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740"/>
        </w:trPr>
        <w:tc>
          <w:tcPr>
            <w:tcW w:w="884" w:type="dxa"/>
            <w:tcBorders>
              <w:right w:val="nil"/>
            </w:tcBorders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Cs/>
              </w:rPr>
            </w:pPr>
            <w:r w:rsidRPr="001811D5">
              <w:rPr>
                <w:bCs/>
              </w:rPr>
              <w:t>3.3.6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</w:pPr>
            <w:r w:rsidRPr="001811D5">
              <w:t>оприлюднення інформації про відкриття рахунку виборчого фонду та його реквізити у друкованих засобах масової інформації</w:t>
            </w:r>
          </w:p>
        </w:tc>
        <w:tc>
          <w:tcPr>
            <w:tcW w:w="1384" w:type="dxa"/>
            <w:tcBorders>
              <w:left w:val="nil"/>
            </w:tcBorders>
          </w:tcPr>
          <w:p w:rsidR="00240867" w:rsidRPr="001811D5" w:rsidRDefault="00F77DF2" w:rsidP="00F77DF2">
            <w:pPr>
              <w:pStyle w:val="1"/>
              <w:jc w:val="center"/>
            </w:pPr>
            <w:r>
              <w:t>-</w:t>
            </w:r>
          </w:p>
        </w:tc>
      </w:tr>
      <w:tr w:rsidR="00240867" w:rsidRPr="001811D5" w:rsidTr="005A1A14">
        <w:trPr>
          <w:trHeight w:hRule="exact" w:val="1800"/>
        </w:trPr>
        <w:tc>
          <w:tcPr>
            <w:tcW w:w="884" w:type="dxa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jc w:val="center"/>
              <w:rPr>
                <w:b/>
                <w:bCs/>
              </w:rPr>
            </w:pPr>
            <w:r w:rsidRPr="001811D5">
              <w:rPr>
                <w:b/>
                <w:bCs/>
              </w:rPr>
              <w:lastRenderedPageBreak/>
              <w:t>3.4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</w:tcPr>
          <w:p w:rsidR="00240867" w:rsidRPr="001811D5" w:rsidRDefault="00240867" w:rsidP="005A1A14">
            <w:pPr>
              <w:pStyle w:val="1"/>
              <w:spacing w:before="20" w:after="20"/>
              <w:rPr>
                <w:b/>
              </w:rPr>
            </w:pPr>
            <w:r w:rsidRPr="001811D5">
              <w:rPr>
                <w:b/>
              </w:rPr>
              <w:t>Інші витрати на передвиборну агітацію (розміщення друкованих агітаційних матеріалів чи політичної реклами на носіях зовнішньої реклами; проведення видовищних чи інших публічних заходів на підтримку місцевої організації партії, кандидата у депутати, кандидата на посаду сільського, селищного, міського голови, а також повідомлення про таку підтримку тощо)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</w:tr>
      <w:tr w:rsidR="00240867" w:rsidRPr="001811D5" w:rsidTr="005A1A14">
        <w:trPr>
          <w:cantSplit/>
          <w:trHeight w:hRule="exact" w:val="439"/>
        </w:trPr>
        <w:tc>
          <w:tcPr>
            <w:tcW w:w="8500" w:type="dxa"/>
            <w:gridSpan w:val="2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rPr>
                <w:b/>
              </w:rPr>
            </w:pPr>
            <w:r w:rsidRPr="001811D5">
              <w:rPr>
                <w:b/>
              </w:rPr>
              <w:t>Усього використано коштів з рахунку виборчого фонду (3.1+3.2+3.3+3.4)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21445,40</w:t>
            </w:r>
          </w:p>
        </w:tc>
      </w:tr>
      <w:tr w:rsidR="00240867" w:rsidRPr="001811D5" w:rsidTr="005A1A14">
        <w:trPr>
          <w:cantSplit/>
          <w:trHeight w:hRule="exact" w:val="982"/>
        </w:trPr>
        <w:tc>
          <w:tcPr>
            <w:tcW w:w="8500" w:type="dxa"/>
            <w:gridSpan w:val="2"/>
            <w:vAlign w:val="center"/>
          </w:tcPr>
          <w:p w:rsidR="00240867" w:rsidRPr="001811D5" w:rsidRDefault="00240867" w:rsidP="005A1A14">
            <w:pPr>
              <w:pStyle w:val="1"/>
              <w:spacing w:before="20" w:after="20"/>
              <w:rPr>
                <w:b/>
              </w:rPr>
            </w:pPr>
            <w:r w:rsidRPr="001811D5">
              <w:rPr>
                <w:b/>
              </w:rPr>
              <w:t>Залишок коштів на рахунку виборчого фонду,</w:t>
            </w:r>
          </w:p>
          <w:p w:rsidR="00240867" w:rsidRPr="001811D5" w:rsidRDefault="00240867" w:rsidP="005A1A14">
            <w:pPr>
              <w:pStyle w:val="1"/>
              <w:spacing w:before="20" w:after="20"/>
              <w:rPr>
                <w:bCs/>
              </w:rPr>
            </w:pPr>
            <w:r w:rsidRPr="001811D5">
              <w:rPr>
                <w:bCs/>
              </w:rPr>
              <w:t>в тому числі: сума штрафних санкцій, перерахованих виконавцями за укладеними угодами</w:t>
            </w:r>
          </w:p>
        </w:tc>
        <w:tc>
          <w:tcPr>
            <w:tcW w:w="1384" w:type="dxa"/>
          </w:tcPr>
          <w:p w:rsidR="00240867" w:rsidRPr="001811D5" w:rsidRDefault="00F77DF2" w:rsidP="00F77DF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</w:tr>
    </w:tbl>
    <w:p w:rsidR="00240867" w:rsidRPr="001811D5" w:rsidRDefault="00240867" w:rsidP="00240867">
      <w:pPr>
        <w:pStyle w:val="1"/>
        <w:spacing w:before="0" w:after="0"/>
        <w:jc w:val="center"/>
        <w:rPr>
          <w:rStyle w:val="a5"/>
        </w:rPr>
      </w:pPr>
    </w:p>
    <w:p w:rsidR="00240867" w:rsidRPr="001811D5" w:rsidRDefault="00F77DF2" w:rsidP="00240867">
      <w:pPr>
        <w:pStyle w:val="1"/>
        <w:spacing w:before="120" w:after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Звіт подано  " 02 </w:t>
      </w:r>
      <w:r w:rsidR="00240867" w:rsidRPr="001811D5">
        <w:rPr>
          <w:sz w:val="28"/>
          <w:szCs w:val="28"/>
        </w:rPr>
        <w:t xml:space="preserve">"  </w:t>
      </w:r>
      <w:r>
        <w:rPr>
          <w:sz w:val="28"/>
          <w:szCs w:val="28"/>
        </w:rPr>
        <w:t xml:space="preserve">листопада </w:t>
      </w:r>
      <w:r w:rsidR="00240867" w:rsidRPr="001811D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12 </w:t>
      </w:r>
      <w:r w:rsidR="00240867" w:rsidRPr="001811D5">
        <w:rPr>
          <w:sz w:val="28"/>
          <w:szCs w:val="28"/>
        </w:rPr>
        <w:t>року</w:t>
      </w:r>
    </w:p>
    <w:p w:rsidR="00240867" w:rsidRPr="001811D5" w:rsidRDefault="00240867" w:rsidP="00240867">
      <w:pPr>
        <w:pStyle w:val="1"/>
        <w:spacing w:before="0"/>
        <w:jc w:val="center"/>
        <w:rPr>
          <w:sz w:val="20"/>
        </w:rPr>
      </w:pPr>
      <w:r w:rsidRPr="001811D5">
        <w:rPr>
          <w:sz w:val="28"/>
          <w:szCs w:val="28"/>
        </w:rPr>
        <w:t xml:space="preserve">                                                    </w:t>
      </w:r>
    </w:p>
    <w:p w:rsidR="00240867" w:rsidRPr="001811D5" w:rsidRDefault="00240867" w:rsidP="00240867">
      <w:pPr>
        <w:pStyle w:val="1"/>
        <w:spacing w:before="0" w:after="0"/>
        <w:jc w:val="both"/>
        <w:rPr>
          <w:sz w:val="28"/>
          <w:szCs w:val="28"/>
        </w:rPr>
      </w:pPr>
      <w:r w:rsidRPr="001811D5">
        <w:rPr>
          <w:sz w:val="28"/>
          <w:szCs w:val="28"/>
        </w:rPr>
        <w:t xml:space="preserve">    Розпорядник </w:t>
      </w:r>
    </w:p>
    <w:p w:rsidR="00240867" w:rsidRPr="001811D5" w:rsidRDefault="00240867" w:rsidP="00240867">
      <w:pPr>
        <w:pStyle w:val="1"/>
        <w:spacing w:before="0" w:after="0"/>
        <w:rPr>
          <w:sz w:val="20"/>
        </w:rPr>
      </w:pPr>
      <w:r w:rsidRPr="001811D5">
        <w:rPr>
          <w:sz w:val="28"/>
          <w:szCs w:val="28"/>
        </w:rPr>
        <w:t xml:space="preserve">виборчого фонду </w:t>
      </w:r>
      <w:r w:rsidRPr="001811D5">
        <w:rPr>
          <w:sz w:val="28"/>
          <w:szCs w:val="28"/>
        </w:rPr>
        <w:tab/>
      </w:r>
      <w:r w:rsidRPr="001811D5">
        <w:rPr>
          <w:sz w:val="28"/>
          <w:szCs w:val="28"/>
        </w:rPr>
        <w:tab/>
        <w:t xml:space="preserve">______________ </w:t>
      </w:r>
      <w:r w:rsidRPr="001811D5">
        <w:rPr>
          <w:sz w:val="28"/>
          <w:szCs w:val="28"/>
        </w:rPr>
        <w:tab/>
      </w:r>
      <w:r w:rsidR="00F77DF2">
        <w:rPr>
          <w:sz w:val="28"/>
          <w:szCs w:val="28"/>
        </w:rPr>
        <w:t xml:space="preserve">                </w:t>
      </w:r>
      <w:proofErr w:type="spellStart"/>
      <w:r w:rsidR="00F77DF2">
        <w:rPr>
          <w:sz w:val="28"/>
          <w:szCs w:val="28"/>
        </w:rPr>
        <w:t>Погарська</w:t>
      </w:r>
      <w:proofErr w:type="spellEnd"/>
      <w:r w:rsidR="00F77DF2">
        <w:rPr>
          <w:sz w:val="28"/>
          <w:szCs w:val="28"/>
        </w:rPr>
        <w:t xml:space="preserve"> І.В.</w:t>
      </w:r>
      <w:r w:rsidRPr="001811D5">
        <w:rPr>
          <w:sz w:val="28"/>
          <w:szCs w:val="28"/>
        </w:rPr>
        <w:t xml:space="preserve"> </w:t>
      </w:r>
      <w:r w:rsidRPr="001811D5">
        <w:rPr>
          <w:sz w:val="28"/>
          <w:szCs w:val="28"/>
        </w:rPr>
        <w:br/>
      </w:r>
      <w:r w:rsidRPr="001811D5">
        <w:rPr>
          <w:sz w:val="20"/>
        </w:rPr>
        <w:t xml:space="preserve">                                                                                   (підпис)                                      (прізвище та ініціали)</w:t>
      </w:r>
    </w:p>
    <w:p w:rsidR="00240867" w:rsidRPr="001811D5" w:rsidRDefault="00240867" w:rsidP="00240867">
      <w:pPr>
        <w:pStyle w:val="a6"/>
        <w:ind w:firstLine="0"/>
        <w:jc w:val="center"/>
        <w:rPr>
          <w:b/>
          <w:iCs/>
          <w:szCs w:val="28"/>
        </w:rPr>
      </w:pPr>
      <w:r w:rsidRPr="001811D5">
        <w:rPr>
          <w:b/>
          <w:iCs/>
          <w:szCs w:val="28"/>
        </w:rPr>
        <w:t xml:space="preserve">                 </w:t>
      </w:r>
    </w:p>
    <w:p w:rsidR="005848B8" w:rsidRPr="00240867" w:rsidRDefault="005848B8">
      <w:pPr>
        <w:rPr>
          <w:lang w:val="uk-UA"/>
        </w:rPr>
      </w:pPr>
    </w:p>
    <w:sectPr w:rsidR="005848B8" w:rsidRPr="0024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7"/>
    <w:rsid w:val="00121664"/>
    <w:rsid w:val="0023289E"/>
    <w:rsid w:val="00240867"/>
    <w:rsid w:val="0034325D"/>
    <w:rsid w:val="003A3034"/>
    <w:rsid w:val="005848B8"/>
    <w:rsid w:val="0084239E"/>
    <w:rsid w:val="00967BEB"/>
    <w:rsid w:val="00BB1224"/>
    <w:rsid w:val="00C40070"/>
    <w:rsid w:val="00CB5E97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867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40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qFormat/>
    <w:rsid w:val="00240867"/>
    <w:rPr>
      <w:b/>
      <w:bCs/>
    </w:rPr>
  </w:style>
  <w:style w:type="paragraph" w:styleId="a6">
    <w:name w:val="Body Text Indent"/>
    <w:aliases w:val=" Знак5"/>
    <w:basedOn w:val="a"/>
    <w:link w:val="a7"/>
    <w:rsid w:val="00240867"/>
    <w:pPr>
      <w:spacing w:after="120"/>
      <w:ind w:left="283"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aliases w:val=" Знак5 Знак"/>
    <w:basedOn w:val="a0"/>
    <w:link w:val="a6"/>
    <w:rsid w:val="002408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2408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43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867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40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qFormat/>
    <w:rsid w:val="00240867"/>
    <w:rPr>
      <w:b/>
      <w:bCs/>
    </w:rPr>
  </w:style>
  <w:style w:type="paragraph" w:styleId="a6">
    <w:name w:val="Body Text Indent"/>
    <w:aliases w:val=" Знак5"/>
    <w:basedOn w:val="a"/>
    <w:link w:val="a7"/>
    <w:rsid w:val="00240867"/>
    <w:pPr>
      <w:spacing w:after="120"/>
      <w:ind w:left="283"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aliases w:val=" Знак5 Знак"/>
    <w:basedOn w:val="a0"/>
    <w:link w:val="a6"/>
    <w:rsid w:val="002408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2408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43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crank</dc:creator>
  <cp:lastModifiedBy>SamLab.ws</cp:lastModifiedBy>
  <cp:revision>2</cp:revision>
  <cp:lastPrinted>2012-11-26T13:15:00Z</cp:lastPrinted>
  <dcterms:created xsi:type="dcterms:W3CDTF">2012-11-26T13:19:00Z</dcterms:created>
  <dcterms:modified xsi:type="dcterms:W3CDTF">2012-11-26T13:19:00Z</dcterms:modified>
</cp:coreProperties>
</file>